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R4-2009675</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TCI state switching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7.1.5.6</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95-e, the WF [1] captures the agreements shown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sz w:val="20"/>
              </w:rPr>
              <w:drawing>
                <wp:inline distT="0" distB="0" distL="114300" distR="114300">
                  <wp:extent cx="5288280" cy="2614295"/>
                  <wp:effectExtent l="0" t="0" r="762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88280" cy="2614295"/>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The LS [2] asks if RAN2 can support to declare beam failure in this case:</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spacing w:before="0" w:beforeAutospacing="0" w:after="60" w:afterAutospacing="0"/>
              <w:ind w:left="0" w:right="0"/>
              <w:rPr>
                <w:rFonts w:hint="default"/>
                <w:i/>
                <w:iCs/>
                <w:sz w:val="20"/>
              </w:rPr>
            </w:pPr>
            <w:r>
              <w:rPr>
                <w:rFonts w:hint="default"/>
                <w:i/>
                <w:iCs/>
                <w:sz w:val="20"/>
                <w:u w:val="single"/>
              </w:rPr>
              <w:t>Known state</w:t>
            </w:r>
            <w:r>
              <w:rPr>
                <w:rFonts w:hint="default"/>
                <w:i/>
                <w:iCs/>
                <w:sz w:val="20"/>
              </w:rPr>
              <w:t>:</w:t>
            </w:r>
          </w:p>
          <w:p>
            <w:pPr>
              <w:keepNext w:val="0"/>
              <w:keepLines w:val="0"/>
              <w:widowControl/>
              <w:numPr>
                <w:ilvl w:val="0"/>
                <w:numId w:val="6"/>
              </w:numPr>
              <w:suppressLineNumbers w:val="0"/>
              <w:spacing w:before="0" w:beforeAutospacing="0" w:after="20" w:afterAutospacing="0"/>
              <w:ind w:right="0" w:hanging="357"/>
              <w:rPr>
                <w:rFonts w:hint="default"/>
                <w:i/>
                <w:iCs/>
                <w:sz w:val="20"/>
                <w:lang w:val="sv-SE"/>
              </w:rPr>
            </w:pPr>
            <w:r>
              <w:rPr>
                <w:rFonts w:hint="default"/>
                <w:i/>
                <w:iCs/>
                <w:sz w:val="20"/>
              </w:rPr>
              <w:t>RRC-based:</w:t>
            </w:r>
          </w:p>
          <w:p>
            <w:pPr>
              <w:keepNext w:val="0"/>
              <w:keepLines w:val="0"/>
              <w:widowControl/>
              <w:numPr>
                <w:ilvl w:val="1"/>
                <w:numId w:val="6"/>
              </w:numPr>
              <w:suppressLineNumbers w:val="0"/>
              <w:spacing w:before="0" w:beforeAutospacing="0" w:after="20" w:afterAutospacing="0"/>
              <w:ind w:right="0" w:hanging="357"/>
              <w:rPr>
                <w:rFonts w:hint="default"/>
                <w:i/>
                <w:iCs/>
                <w:sz w:val="20"/>
              </w:rPr>
            </w:pPr>
            <w:r>
              <w:rPr>
                <w:rFonts w:hint="default"/>
                <w:i/>
                <w:iCs/>
                <w:sz w:val="20"/>
              </w:rPr>
              <w:t>L</w:t>
            </w:r>
            <w:r>
              <w:rPr>
                <w:rFonts w:hint="default"/>
                <w:i/>
                <w:iCs/>
                <w:sz w:val="20"/>
                <w:vertAlign w:val="subscript"/>
              </w:rPr>
              <w:t>RRC,known,max</w:t>
            </w:r>
            <w:r>
              <w:rPr>
                <w:rFonts w:hint="default"/>
                <w:i/>
                <w:iCs/>
                <w:sz w:val="20"/>
              </w:rPr>
              <w:t xml:space="preserve"> =[2] for T</w:t>
            </w:r>
            <w:r>
              <w:rPr>
                <w:rFonts w:hint="default"/>
                <w:i/>
                <w:iCs/>
                <w:sz w:val="20"/>
                <w:vertAlign w:val="subscript"/>
              </w:rPr>
              <w:t>SSB</w:t>
            </w:r>
            <w:r>
              <w:rPr>
                <w:rFonts w:hint="default"/>
                <w:i/>
                <w:iCs/>
                <w:sz w:val="20"/>
              </w:rPr>
              <w:t>≤40 ms, L</w:t>
            </w:r>
            <w:r>
              <w:rPr>
                <w:rFonts w:hint="default"/>
                <w:i/>
                <w:iCs/>
                <w:sz w:val="20"/>
                <w:vertAlign w:val="subscript"/>
              </w:rPr>
              <w:t>RRC,known,max</w:t>
            </w:r>
            <w:r>
              <w:rPr>
                <w:rFonts w:hint="default"/>
                <w:i/>
                <w:iCs/>
                <w:sz w:val="20"/>
              </w:rPr>
              <w:t xml:space="preserve"> =[1] for T</w:t>
            </w:r>
            <w:r>
              <w:rPr>
                <w:rFonts w:hint="default"/>
                <w:i/>
                <w:iCs/>
                <w:sz w:val="20"/>
                <w:vertAlign w:val="subscript"/>
              </w:rPr>
              <w:t>SSB</w:t>
            </w:r>
            <w:r>
              <w:rPr>
                <w:rFonts w:hint="default"/>
                <w:i/>
                <w:iCs/>
                <w:sz w:val="20"/>
              </w:rPr>
              <w:t>&gt;40 ms</w:t>
            </w:r>
          </w:p>
          <w:p>
            <w:pPr>
              <w:keepNext w:val="0"/>
              <w:keepLines w:val="0"/>
              <w:widowControl/>
              <w:numPr>
                <w:ilvl w:val="2"/>
                <w:numId w:val="6"/>
              </w:numPr>
              <w:suppressLineNumbers w:val="0"/>
              <w:spacing w:before="0" w:beforeAutospacing="0" w:after="20" w:afterAutospacing="0"/>
              <w:ind w:right="0" w:hanging="357"/>
              <w:rPr>
                <w:rFonts w:hint="default"/>
                <w:i/>
                <w:iCs/>
                <w:sz w:val="20"/>
              </w:rPr>
            </w:pPr>
            <w:r>
              <w:rPr>
                <w:rFonts w:hint="default"/>
                <w:i/>
                <w:iCs/>
                <w:sz w:val="20"/>
              </w:rPr>
              <w:t>Upon exceeding L</w:t>
            </w:r>
            <w:r>
              <w:rPr>
                <w:rFonts w:hint="default"/>
                <w:i/>
                <w:iCs/>
                <w:sz w:val="20"/>
                <w:vertAlign w:val="subscript"/>
              </w:rPr>
              <w:t>RRC,known,max</w:t>
            </w:r>
            <w:r>
              <w:rPr>
                <w:rFonts w:hint="default"/>
                <w:i/>
                <w:iCs/>
                <w:sz w:val="20"/>
              </w:rPr>
              <w:t xml:space="preserve"> the UE may stop the active TCI state switching procedure and </w:t>
            </w:r>
            <w:r>
              <w:rPr>
                <w:rFonts w:hint="default"/>
                <w:i/>
                <w:iCs/>
                <w:sz w:val="20"/>
                <w:highlight w:val="yellow"/>
              </w:rPr>
              <w:t>FFS: declare beam failure</w:t>
            </w:r>
          </w:p>
          <w:p>
            <w:pPr>
              <w:keepNext w:val="0"/>
              <w:keepLines w:val="0"/>
              <w:widowControl/>
              <w:numPr>
                <w:ilvl w:val="0"/>
                <w:numId w:val="6"/>
              </w:numPr>
              <w:suppressLineNumbers w:val="0"/>
              <w:spacing w:before="0" w:beforeAutospacing="0" w:after="20" w:afterAutospacing="0"/>
              <w:ind w:right="0" w:hanging="357"/>
              <w:rPr>
                <w:rFonts w:hint="default"/>
                <w:i/>
                <w:iCs/>
                <w:sz w:val="20"/>
                <w:lang w:val="sv-SE"/>
              </w:rPr>
            </w:pPr>
            <w:r>
              <w:rPr>
                <w:rFonts w:hint="default"/>
                <w:i/>
                <w:iCs/>
                <w:sz w:val="20"/>
              </w:rPr>
              <w:t>MAC-CE based:</w:t>
            </w:r>
          </w:p>
          <w:p>
            <w:pPr>
              <w:keepNext w:val="0"/>
              <w:keepLines w:val="0"/>
              <w:widowControl/>
              <w:numPr>
                <w:ilvl w:val="1"/>
                <w:numId w:val="6"/>
              </w:numPr>
              <w:suppressLineNumbers w:val="0"/>
              <w:spacing w:before="0" w:beforeAutospacing="0" w:after="20" w:afterAutospacing="0"/>
              <w:ind w:right="0" w:hanging="357"/>
              <w:rPr>
                <w:rFonts w:hint="default"/>
                <w:i/>
                <w:iCs/>
                <w:sz w:val="20"/>
              </w:rPr>
            </w:pPr>
            <w:r>
              <w:rPr>
                <w:rFonts w:hint="default"/>
                <w:i/>
                <w:iCs/>
                <w:sz w:val="20"/>
              </w:rPr>
              <w:t>L</w:t>
            </w:r>
            <w:r>
              <w:rPr>
                <w:rFonts w:hint="default"/>
                <w:i/>
                <w:iCs/>
                <w:sz w:val="20"/>
                <w:vertAlign w:val="subscript"/>
              </w:rPr>
              <w:t>MAC,known,max</w:t>
            </w:r>
            <w:r>
              <w:rPr>
                <w:rFonts w:hint="default"/>
                <w:i/>
                <w:iCs/>
                <w:sz w:val="20"/>
              </w:rPr>
              <w:t xml:space="preserve"> =[2] for T</w:t>
            </w:r>
            <w:r>
              <w:rPr>
                <w:rFonts w:hint="default"/>
                <w:i/>
                <w:iCs/>
                <w:sz w:val="20"/>
                <w:vertAlign w:val="subscript"/>
              </w:rPr>
              <w:t>SSB</w:t>
            </w:r>
            <w:r>
              <w:rPr>
                <w:rFonts w:hint="default"/>
                <w:i/>
                <w:iCs/>
                <w:sz w:val="20"/>
              </w:rPr>
              <w:t>≤40 ms, L</w:t>
            </w:r>
            <w:r>
              <w:rPr>
                <w:rFonts w:hint="default"/>
                <w:i/>
                <w:iCs/>
                <w:sz w:val="20"/>
                <w:vertAlign w:val="subscript"/>
              </w:rPr>
              <w:t>MAC,known,max</w:t>
            </w:r>
            <w:r>
              <w:rPr>
                <w:rFonts w:hint="default"/>
                <w:i/>
                <w:iCs/>
                <w:sz w:val="20"/>
              </w:rPr>
              <w:t xml:space="preserve"> =[1] for T</w:t>
            </w:r>
            <w:r>
              <w:rPr>
                <w:rFonts w:hint="default"/>
                <w:i/>
                <w:iCs/>
                <w:sz w:val="20"/>
                <w:vertAlign w:val="subscript"/>
              </w:rPr>
              <w:t>SSB</w:t>
            </w:r>
            <w:r>
              <w:rPr>
                <w:rFonts w:hint="default"/>
                <w:i/>
                <w:iCs/>
                <w:sz w:val="20"/>
              </w:rPr>
              <w:t>&gt;40 ms</w:t>
            </w:r>
          </w:p>
          <w:p>
            <w:pPr>
              <w:keepNext w:val="0"/>
              <w:keepLines w:val="0"/>
              <w:widowControl/>
              <w:numPr>
                <w:ilvl w:val="2"/>
                <w:numId w:val="6"/>
              </w:numPr>
              <w:suppressLineNumbers w:val="0"/>
              <w:spacing w:before="0" w:beforeAutospacing="0" w:after="20" w:afterAutospacing="0"/>
              <w:ind w:right="0" w:hanging="357"/>
              <w:rPr>
                <w:rFonts w:hint="default"/>
                <w:i/>
                <w:iCs/>
                <w:sz w:val="20"/>
              </w:rPr>
            </w:pPr>
            <w:r>
              <w:rPr>
                <w:rFonts w:hint="default"/>
                <w:i/>
                <w:iCs/>
                <w:sz w:val="20"/>
              </w:rPr>
              <w:t>Upon exceeding L</w:t>
            </w:r>
            <w:r>
              <w:rPr>
                <w:rFonts w:hint="default"/>
                <w:i/>
                <w:iCs/>
                <w:sz w:val="20"/>
                <w:vertAlign w:val="subscript"/>
              </w:rPr>
              <w:t>MAC,known,max</w:t>
            </w:r>
            <w:r>
              <w:rPr>
                <w:rFonts w:hint="default"/>
                <w:i/>
                <w:iCs/>
                <w:sz w:val="20"/>
              </w:rPr>
              <w:t xml:space="preserve"> the UE may stop the active TCI state switching procedure and FFS: stay in the old state</w:t>
            </w:r>
          </w:p>
          <w:p>
            <w:pPr>
              <w:keepNext w:val="0"/>
              <w:keepLines w:val="0"/>
              <w:widowControl/>
              <w:suppressLineNumbers w:val="0"/>
              <w:spacing w:before="0" w:beforeAutospacing="0" w:after="60" w:afterAutospacing="0"/>
              <w:ind w:left="0" w:right="0"/>
              <w:rPr>
                <w:rFonts w:hint="default"/>
                <w:i/>
                <w:iCs/>
                <w:sz w:val="20"/>
              </w:rPr>
            </w:pPr>
            <w:r>
              <w:rPr>
                <w:rFonts w:hint="default"/>
                <w:i/>
                <w:iCs/>
                <w:sz w:val="20"/>
                <w:u w:val="single"/>
              </w:rPr>
              <w:t>Unknown state</w:t>
            </w:r>
            <w:r>
              <w:rPr>
                <w:rFonts w:hint="default"/>
                <w:i/>
                <w:iCs/>
                <w:sz w:val="20"/>
              </w:rPr>
              <w:t>:</w:t>
            </w:r>
          </w:p>
          <w:p>
            <w:pPr>
              <w:keepNext w:val="0"/>
              <w:keepLines w:val="0"/>
              <w:widowControl/>
              <w:numPr>
                <w:ilvl w:val="0"/>
                <w:numId w:val="7"/>
              </w:numPr>
              <w:suppressLineNumbers w:val="0"/>
              <w:spacing w:before="0" w:beforeAutospacing="0" w:after="20" w:afterAutospacing="0"/>
              <w:ind w:right="0" w:hanging="357"/>
              <w:rPr>
                <w:rFonts w:hint="default"/>
                <w:i/>
                <w:iCs/>
                <w:sz w:val="20"/>
                <w:highlight w:val="none"/>
                <w:lang w:val="sv-SE"/>
              </w:rPr>
            </w:pPr>
            <w:r>
              <w:rPr>
                <w:rFonts w:hint="default"/>
                <w:i/>
                <w:iCs/>
                <w:sz w:val="20"/>
                <w:highlight w:val="none"/>
              </w:rPr>
              <w:t>RRC-based:</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L1</w:t>
            </w:r>
            <w:r>
              <w:rPr>
                <w:rFonts w:hint="default"/>
                <w:i/>
                <w:iCs/>
                <w:sz w:val="20"/>
                <w:highlight w:val="none"/>
                <w:vertAlign w:val="subscript"/>
              </w:rPr>
              <w:t>RRC,unknown,max</w:t>
            </w:r>
            <w:r>
              <w:rPr>
                <w:rFonts w:hint="default"/>
                <w:i/>
                <w:iCs/>
                <w:sz w:val="20"/>
                <w:highlight w:val="none"/>
              </w:rPr>
              <w:t xml:space="preserve"> =[2] for T</w:t>
            </w:r>
            <w:r>
              <w:rPr>
                <w:rFonts w:hint="default"/>
                <w:i/>
                <w:iCs/>
                <w:sz w:val="20"/>
                <w:highlight w:val="none"/>
                <w:vertAlign w:val="subscript"/>
              </w:rPr>
              <w:t>CSI-RS/SSB</w:t>
            </w:r>
            <w:r>
              <w:rPr>
                <w:rFonts w:hint="default"/>
                <w:i/>
                <w:iCs/>
                <w:sz w:val="20"/>
                <w:highlight w:val="none"/>
              </w:rPr>
              <w:t xml:space="preserve"> ≤40 ms, L1</w:t>
            </w:r>
            <w:r>
              <w:rPr>
                <w:rFonts w:hint="default"/>
                <w:i/>
                <w:iCs/>
                <w:sz w:val="20"/>
                <w:highlight w:val="none"/>
                <w:vertAlign w:val="subscript"/>
              </w:rPr>
              <w:t>MAC,unknown,max</w:t>
            </w:r>
            <w:r>
              <w:rPr>
                <w:rFonts w:hint="default"/>
                <w:i/>
                <w:iCs/>
                <w:sz w:val="20"/>
                <w:highlight w:val="none"/>
              </w:rPr>
              <w:t xml:space="preserve"> = [1] for T</w:t>
            </w:r>
            <w:r>
              <w:rPr>
                <w:rFonts w:hint="default"/>
                <w:i/>
                <w:iCs/>
                <w:sz w:val="20"/>
                <w:highlight w:val="none"/>
                <w:vertAlign w:val="subscript"/>
              </w:rPr>
              <w:t>CSI-RS/SSB</w:t>
            </w:r>
            <w:r>
              <w:rPr>
                <w:rFonts w:hint="default"/>
                <w:i/>
                <w:iCs/>
                <w:sz w:val="20"/>
                <w:highlight w:val="none"/>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L2</w:t>
            </w:r>
            <w:r>
              <w:rPr>
                <w:rFonts w:hint="default"/>
                <w:i/>
                <w:iCs/>
                <w:sz w:val="20"/>
                <w:highlight w:val="none"/>
                <w:vertAlign w:val="subscript"/>
              </w:rPr>
              <w:t>RRC,unknown,max</w:t>
            </w:r>
            <w:r>
              <w:rPr>
                <w:rFonts w:hint="default"/>
                <w:i/>
                <w:iCs/>
                <w:sz w:val="20"/>
                <w:highlight w:val="none"/>
              </w:rPr>
              <w:t xml:space="preserve"> =[2] for T</w:t>
            </w:r>
            <w:r>
              <w:rPr>
                <w:rFonts w:hint="default"/>
                <w:i/>
                <w:iCs/>
                <w:sz w:val="20"/>
                <w:highlight w:val="none"/>
                <w:vertAlign w:val="subscript"/>
              </w:rPr>
              <w:t>SSB</w:t>
            </w:r>
            <w:r>
              <w:rPr>
                <w:rFonts w:hint="default"/>
                <w:i/>
                <w:iCs/>
                <w:sz w:val="20"/>
                <w:highlight w:val="none"/>
              </w:rPr>
              <w:t xml:space="preserve"> ≤40 ms, L2</w:t>
            </w:r>
            <w:r>
              <w:rPr>
                <w:rFonts w:hint="default"/>
                <w:i/>
                <w:iCs/>
                <w:sz w:val="20"/>
                <w:highlight w:val="none"/>
                <w:vertAlign w:val="subscript"/>
              </w:rPr>
              <w:t>MAC,unknown,max</w:t>
            </w:r>
            <w:r>
              <w:rPr>
                <w:rFonts w:hint="default"/>
                <w:i/>
                <w:iCs/>
                <w:sz w:val="20"/>
                <w:highlight w:val="none"/>
              </w:rPr>
              <w:t xml:space="preserve"> = [1] for T</w:t>
            </w:r>
            <w:r>
              <w:rPr>
                <w:rFonts w:hint="default"/>
                <w:i/>
                <w:iCs/>
                <w:sz w:val="20"/>
                <w:highlight w:val="none"/>
                <w:vertAlign w:val="subscript"/>
              </w:rPr>
              <w:t>SSB</w:t>
            </w:r>
            <w:r>
              <w:rPr>
                <w:rFonts w:hint="default"/>
                <w:i/>
                <w:iCs/>
                <w:sz w:val="20"/>
                <w:highlight w:val="none"/>
              </w:rPr>
              <w:t xml:space="preserve">&gt;40 ms </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Upon exceeding L1</w:t>
            </w:r>
            <w:r>
              <w:rPr>
                <w:rFonts w:hint="default"/>
                <w:i/>
                <w:iCs/>
                <w:sz w:val="20"/>
                <w:highlight w:val="none"/>
                <w:vertAlign w:val="subscript"/>
              </w:rPr>
              <w:t>RRC,unknown,max</w:t>
            </w:r>
            <w:r>
              <w:rPr>
                <w:rFonts w:hint="default"/>
                <w:i/>
                <w:iCs/>
                <w:sz w:val="20"/>
                <w:highlight w:val="none"/>
              </w:rPr>
              <w:t xml:space="preserve"> or L2</w:t>
            </w:r>
            <w:r>
              <w:rPr>
                <w:rFonts w:hint="default"/>
                <w:i/>
                <w:iCs/>
                <w:sz w:val="20"/>
                <w:highlight w:val="none"/>
                <w:vertAlign w:val="subscript"/>
              </w:rPr>
              <w:t>RRC,unknown,max</w:t>
            </w:r>
            <w:r>
              <w:rPr>
                <w:rFonts w:hint="default"/>
                <w:i/>
                <w:iCs/>
                <w:sz w:val="20"/>
                <w:highlight w:val="none"/>
              </w:rPr>
              <w:t xml:space="preserve"> the UE may abandon the active TCI state switching procedure and </w:t>
            </w:r>
            <w:r>
              <w:rPr>
                <w:rFonts w:hint="default"/>
                <w:i/>
                <w:iCs/>
                <w:sz w:val="20"/>
                <w:highlight w:val="yellow"/>
              </w:rPr>
              <w:t>FFS: declare beam failure</w:t>
            </w:r>
          </w:p>
          <w:p>
            <w:pPr>
              <w:keepNext w:val="0"/>
              <w:keepLines w:val="0"/>
              <w:widowControl/>
              <w:numPr>
                <w:ilvl w:val="0"/>
                <w:numId w:val="7"/>
              </w:numPr>
              <w:suppressLineNumbers w:val="0"/>
              <w:spacing w:before="0" w:beforeAutospacing="0" w:after="20" w:afterAutospacing="0"/>
              <w:ind w:right="0" w:hanging="357"/>
              <w:rPr>
                <w:rFonts w:hint="default"/>
                <w:i/>
                <w:iCs/>
                <w:sz w:val="20"/>
                <w:lang w:val="sv-SE"/>
              </w:rPr>
            </w:pPr>
            <w:r>
              <w:rPr>
                <w:rFonts w:hint="default"/>
                <w:i/>
                <w:iCs/>
                <w:sz w:val="20"/>
              </w:rPr>
              <w:t>MAC-CE based switching:</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L1</w:t>
            </w:r>
            <w:r>
              <w:rPr>
                <w:rFonts w:hint="default"/>
                <w:i/>
                <w:iCs/>
                <w:sz w:val="20"/>
                <w:vertAlign w:val="subscript"/>
              </w:rPr>
              <w:t>MAC,unknown,max</w:t>
            </w:r>
            <w:r>
              <w:rPr>
                <w:rFonts w:hint="default"/>
                <w:i/>
                <w:iCs/>
                <w:sz w:val="20"/>
              </w:rPr>
              <w:t xml:space="preserve"> = [2] for T</w:t>
            </w:r>
            <w:r>
              <w:rPr>
                <w:rFonts w:hint="default"/>
                <w:i/>
                <w:iCs/>
                <w:sz w:val="20"/>
                <w:vertAlign w:val="subscript"/>
              </w:rPr>
              <w:t>CSI-RS/SSB</w:t>
            </w:r>
            <w:r>
              <w:rPr>
                <w:rFonts w:hint="default"/>
                <w:i/>
                <w:iCs/>
                <w:sz w:val="20"/>
              </w:rPr>
              <w:t>≤40 ms, L1</w:t>
            </w:r>
            <w:r>
              <w:rPr>
                <w:rFonts w:hint="default"/>
                <w:i/>
                <w:iCs/>
                <w:sz w:val="20"/>
                <w:vertAlign w:val="subscript"/>
              </w:rPr>
              <w:t>MAC,unknown,max</w:t>
            </w:r>
            <w:r>
              <w:rPr>
                <w:rFonts w:hint="default"/>
                <w:i/>
                <w:iCs/>
                <w:sz w:val="20"/>
              </w:rPr>
              <w:t xml:space="preserve"> = [1] for T</w:t>
            </w:r>
            <w:r>
              <w:rPr>
                <w:rFonts w:hint="default"/>
                <w:i/>
                <w:iCs/>
                <w:sz w:val="20"/>
                <w:vertAlign w:val="subscript"/>
              </w:rPr>
              <w:t>CSI-RS/SSB</w:t>
            </w:r>
            <w:r>
              <w:rPr>
                <w:rFonts w:hint="default"/>
                <w:i/>
                <w:iCs/>
                <w:sz w:val="20"/>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L2</w:t>
            </w:r>
            <w:r>
              <w:rPr>
                <w:rFonts w:hint="default"/>
                <w:i/>
                <w:iCs/>
                <w:sz w:val="20"/>
                <w:vertAlign w:val="subscript"/>
              </w:rPr>
              <w:t>MAC,unknown,max</w:t>
            </w:r>
            <w:r>
              <w:rPr>
                <w:rFonts w:hint="default"/>
                <w:i/>
                <w:iCs/>
                <w:sz w:val="20"/>
              </w:rPr>
              <w:t xml:space="preserve"> =[2] for T</w:t>
            </w:r>
            <w:r>
              <w:rPr>
                <w:rFonts w:hint="default"/>
                <w:i/>
                <w:iCs/>
                <w:sz w:val="20"/>
                <w:vertAlign w:val="subscript"/>
              </w:rPr>
              <w:t>SSB</w:t>
            </w:r>
            <w:r>
              <w:rPr>
                <w:rFonts w:hint="default"/>
                <w:i/>
                <w:iCs/>
                <w:sz w:val="20"/>
              </w:rPr>
              <w:t>≤40 ms, L2</w:t>
            </w:r>
            <w:r>
              <w:rPr>
                <w:rFonts w:hint="default"/>
                <w:i/>
                <w:iCs/>
                <w:sz w:val="20"/>
                <w:vertAlign w:val="subscript"/>
              </w:rPr>
              <w:t>MAC,unknown,max</w:t>
            </w:r>
            <w:r>
              <w:rPr>
                <w:rFonts w:hint="default"/>
                <w:i/>
                <w:iCs/>
                <w:sz w:val="20"/>
              </w:rPr>
              <w:t xml:space="preserve"> = [1] for T</w:t>
            </w:r>
            <w:r>
              <w:rPr>
                <w:rFonts w:hint="default"/>
                <w:i/>
                <w:iCs/>
                <w:sz w:val="20"/>
                <w:vertAlign w:val="subscript"/>
              </w:rPr>
              <w:t>SSB</w:t>
            </w:r>
            <w:r>
              <w:rPr>
                <w:rFonts w:hint="default"/>
                <w:i/>
                <w:iCs/>
                <w:sz w:val="20"/>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Upon exceeding L1</w:t>
            </w:r>
            <w:r>
              <w:rPr>
                <w:rFonts w:hint="default"/>
                <w:i/>
                <w:iCs/>
                <w:sz w:val="20"/>
                <w:vertAlign w:val="subscript"/>
              </w:rPr>
              <w:t>MAC,unknown,max</w:t>
            </w:r>
            <w:r>
              <w:rPr>
                <w:rFonts w:hint="default"/>
                <w:i/>
                <w:iCs/>
                <w:sz w:val="20"/>
              </w:rPr>
              <w:t xml:space="preserve"> or L2</w:t>
            </w:r>
            <w:r>
              <w:rPr>
                <w:rFonts w:hint="default"/>
                <w:i/>
                <w:iCs/>
                <w:sz w:val="20"/>
                <w:vertAlign w:val="subscript"/>
              </w:rPr>
              <w:t>MAC,unknown,max</w:t>
            </w:r>
            <w:r>
              <w:rPr>
                <w:rFonts w:hint="default"/>
                <w:i/>
                <w:iCs/>
                <w:sz w:val="20"/>
              </w:rPr>
              <w:t xml:space="preserve"> the UE may stop the active TCI state switching procedure and FFS: stay in the old state</w:t>
            </w:r>
          </w:p>
          <w:p>
            <w:pPr>
              <w:keepNext w:val="0"/>
              <w:keepLines w:val="0"/>
              <w:widowControl/>
              <w:suppressLineNumbers w:val="0"/>
              <w:spacing w:before="0" w:beforeAutospacing="0" w:after="60" w:afterAutospacing="0"/>
              <w:ind w:left="0" w:right="0"/>
              <w:jc w:val="both"/>
              <w:rPr>
                <w:rFonts w:hint="default" w:ascii="Arial" w:hAnsi="Arial" w:cs="Arial"/>
                <w:color w:val="000000"/>
                <w:sz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left"/>
              <w:rPr>
                <w:rFonts w:hint="default" w:eastAsia="宋体"/>
                <w:sz w:val="22"/>
                <w:szCs w:val="22"/>
                <w:vertAlign w:val="baseline"/>
                <w:lang w:val="en-US" w:eastAsia="zh-CN"/>
              </w:rPr>
            </w:pPr>
            <w:r>
              <w:rPr>
                <w:rFonts w:hint="default"/>
                <w:i/>
                <w:iCs/>
                <w:color w:val="000000"/>
                <w:sz w:val="20"/>
                <w:lang w:val="en-US"/>
              </w:rPr>
              <w:t xml:space="preserve">In the above, </w:t>
            </w:r>
            <w:r>
              <w:rPr>
                <w:rFonts w:hint="default"/>
                <w:i/>
                <w:iCs/>
                <w:color w:val="000000"/>
                <w:sz w:val="20"/>
              </w:rPr>
              <w:t>L</w:t>
            </w:r>
            <w:r>
              <w:rPr>
                <w:rFonts w:hint="default"/>
                <w:i/>
                <w:iCs/>
                <w:color w:val="000000"/>
                <w:sz w:val="20"/>
                <w:vertAlign w:val="subscript"/>
                <w:lang w:val="en-US"/>
              </w:rPr>
              <w:t>*,max</w:t>
            </w:r>
            <w:r>
              <w:rPr>
                <w:rFonts w:hint="default"/>
                <w:i/>
                <w:iCs/>
                <w:color w:val="000000"/>
                <w:sz w:val="20"/>
                <w:lang w:val="en-US"/>
              </w:rPr>
              <w:t xml:space="preserve"> is</w:t>
            </w:r>
            <w:r>
              <w:rPr>
                <w:rFonts w:hint="default"/>
                <w:i/>
                <w:iCs/>
                <w:color w:val="000000"/>
                <w:sz w:val="20"/>
              </w:rPr>
              <w:t xml:space="preserve"> the </w:t>
            </w:r>
            <w:r>
              <w:rPr>
                <w:rFonts w:hint="default"/>
                <w:i/>
                <w:iCs/>
                <w:color w:val="000000"/>
                <w:sz w:val="20"/>
                <w:lang w:val="en-US"/>
              </w:rPr>
              <w:t xml:space="preserve">maximum </w:t>
            </w:r>
            <w:r>
              <w:rPr>
                <w:rFonts w:hint="default"/>
                <w:i/>
                <w:iCs/>
                <w:color w:val="000000"/>
                <w:sz w:val="20"/>
              </w:rPr>
              <w:t>number of SSB occasions not available at the UE due to CCA failure</w:t>
            </w:r>
            <w:r>
              <w:rPr>
                <w:rFonts w:hint="default"/>
                <w:i/>
                <w:iCs/>
                <w:color w:val="000000"/>
                <w:sz w:val="20"/>
                <w:lang w:val="en-US"/>
              </w:rPr>
              <w:t xml:space="preserve"> for the corresponding state and switching type.</w:t>
            </w:r>
          </w:p>
        </w:tc>
      </w:tr>
    </w:tbl>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The response LS from RAN2 [3] was sent back to RAN4 at the end of RAN4 95-e meeting, with the content copied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ascii="Arial" w:hAnsi="Arial" w:cs="Arial"/>
                <w:sz w:val="20"/>
              </w:rPr>
              <w:t>NR Rel-15 BFD and BFR mechanism are enough to handle RRC based TCI state switching failure caused by DL LBT failures. No additional enhancement is needed for Rel-16.</w:t>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rPr>
          <w:rFonts w:hint="default" w:eastAsia="宋体" w:cs="Times New Roman"/>
          <w:sz w:val="22"/>
          <w:szCs w:val="22"/>
          <w:lang w:val="en-US" w:eastAsia="zh-CN" w:bidi="ar-SA"/>
        </w:rPr>
      </w:pPr>
      <w:r>
        <w:rPr>
          <w:rFonts w:hint="eastAsia" w:eastAsia="宋体" w:cs="Times New Roman"/>
          <w:sz w:val="22"/>
          <w:szCs w:val="22"/>
          <w:lang w:val="en-US" w:eastAsia="zh-CN" w:bidi="ar-SA"/>
        </w:rPr>
        <w:t>From RAN2 response LS, it</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s clear that declaring beam failure is not supported and no additional enhancement is needed for R16. Under the current schedule to clean up and finish R16 specifications, we think this is a reasonable decision. However, we wish to provide some analysis and show that not introducing any new designs is not optimal.</w:t>
      </w:r>
    </w:p>
    <w:p>
      <w:pPr>
        <w:rPr>
          <w:rFonts w:hint="eastAsia" w:eastAsia="宋体" w:cs="Times New Roman"/>
          <w:sz w:val="22"/>
          <w:szCs w:val="22"/>
          <w:lang w:val="en-US" w:eastAsia="zh-CN" w:bidi="ar-SA"/>
        </w:rPr>
      </w:pPr>
      <w:r>
        <w:rPr>
          <w:rFonts w:hint="eastAsia" w:eastAsia="宋体" w:cs="Times New Roman"/>
          <w:sz w:val="22"/>
          <w:szCs w:val="22"/>
          <w:lang w:val="en-US" w:eastAsia="zh-CN" w:bidi="ar-SA"/>
        </w:rPr>
        <w:t xml:space="preserve">First, we would like to analyze why some companies suggested to allow the UE to declare BF. The intention of declaring beam failure is that such behavior can </w:t>
      </w:r>
    </w:p>
    <w:p>
      <w:pPr>
        <w:numPr>
          <w:ilvl w:val="0"/>
          <w:numId w:val="8"/>
        </w:numPr>
        <w:rPr>
          <w:rFonts w:hint="default" w:eastAsia="宋体" w:cs="Times New Roman"/>
          <w:sz w:val="22"/>
          <w:szCs w:val="22"/>
          <w:lang w:val="en-US" w:eastAsia="zh-CN" w:bidi="ar-SA"/>
        </w:rPr>
      </w:pPr>
      <w:r>
        <w:rPr>
          <w:rFonts w:hint="eastAsia" w:eastAsia="宋体" w:cs="Times New Roman"/>
          <w:sz w:val="22"/>
          <w:szCs w:val="22"/>
          <w:lang w:val="en-US" w:eastAsia="zh-CN" w:bidi="ar-SA"/>
        </w:rPr>
        <w:t>Make sure the UE and the network are on the same page, all knowing the current condition at the UE side</w:t>
      </w:r>
    </w:p>
    <w:p>
      <w:pPr>
        <w:numPr>
          <w:ilvl w:val="0"/>
          <w:numId w:val="8"/>
        </w:numPr>
        <w:rPr>
          <w:rFonts w:hint="default" w:eastAsia="宋体" w:cs="Times New Roman"/>
          <w:sz w:val="22"/>
          <w:szCs w:val="22"/>
          <w:lang w:val="en-US" w:eastAsia="zh-CN" w:bidi="ar-SA"/>
        </w:rPr>
      </w:pPr>
      <w:r>
        <w:rPr>
          <w:rFonts w:hint="eastAsia" w:eastAsia="宋体" w:cs="Times New Roman"/>
          <w:sz w:val="22"/>
          <w:szCs w:val="22"/>
          <w:lang w:val="en-US" w:eastAsia="zh-CN" w:bidi="ar-SA"/>
        </w:rPr>
        <w:t>The UE can provide the network with a better candidate beam when sending RACH to the network</w:t>
      </w:r>
    </w:p>
    <w:p>
      <w:pPr>
        <w:numPr>
          <w:ilvl w:val="0"/>
          <w:numId w:val="0"/>
        </w:numPr>
        <w:rPr>
          <w:rFonts w:hint="eastAsia" w:eastAsia="宋体" w:cs="Times New Roman"/>
          <w:sz w:val="22"/>
          <w:szCs w:val="22"/>
          <w:lang w:val="en-US" w:eastAsia="zh-CN" w:bidi="ar-SA"/>
        </w:rPr>
      </w:pPr>
      <w:r>
        <w:rPr>
          <w:rFonts w:hint="eastAsia" w:eastAsia="宋体" w:cs="Times New Roman"/>
          <w:sz w:val="22"/>
          <w:szCs w:val="22"/>
          <w:lang w:val="en-US" w:eastAsia="zh-CN" w:bidi="ar-SA"/>
        </w:rPr>
        <w:t>However, we find out that declaring beam failure cannot fulfil its goal. For 1), since the network is always aware of DL LBT failures, so once a RS is not transmitted due to DL LBT failure, the UE and the network all know that even without signalling.</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Observation 1:</w:t>
      </w:r>
      <w:r>
        <w:rPr>
          <w:rFonts w:hint="eastAsia" w:eastAsia="宋体" w:cs="Times New Roman"/>
          <w:sz w:val="22"/>
          <w:szCs w:val="22"/>
          <w:lang w:val="en-US" w:eastAsia="zh-CN" w:bidi="ar-SA"/>
        </w:rPr>
        <w:t xml:space="preserve"> Once a RS is not transmitted due to DL LBT failure, the UE and the network all know that even without signalling.</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For 2), we think this purpose can only be fulfilled if the UE can perform directional LBT.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numPr>
          <w:ilvl w:val="0"/>
          <w:numId w:val="0"/>
        </w:numPr>
        <w:rPr>
          <w:rFonts w:hint="eastAsia" w:eastAsia="宋体" w:cs="Times New Roman"/>
          <w:sz w:val="22"/>
          <w:szCs w:val="22"/>
          <w:lang w:val="en-US" w:eastAsia="zh-CN" w:bidi="ar-SA"/>
        </w:rPr>
      </w:pPr>
      <w:r>
        <w:rPr>
          <w:rFonts w:hint="eastAsia" w:eastAsia="宋体" w:cs="Times New Roman"/>
          <w:b/>
          <w:bCs/>
          <w:sz w:val="22"/>
          <w:szCs w:val="22"/>
          <w:lang w:val="en-US" w:eastAsia="zh-CN" w:bidi="ar-SA"/>
        </w:rPr>
        <w:t>Observation 2:</w:t>
      </w:r>
      <w:r>
        <w:rPr>
          <w:rFonts w:hint="eastAsia" w:eastAsia="宋体" w:cs="Times New Roman"/>
          <w:sz w:val="22"/>
          <w:szCs w:val="22"/>
          <w:lang w:val="en-US" w:eastAsia="zh-CN" w:bidi="ar-SA"/>
        </w:rPr>
        <w:t xml:space="preserve">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Observation 2 means that if LBT fails with an old beam, with a new beam it will most likely to fail because LBT is done with an omni-directional manner.</w:t>
      </w:r>
    </w:p>
    <w:p>
      <w:pPr>
        <w:rPr>
          <w:rFonts w:hint="default"/>
          <w:sz w:val="22"/>
          <w:szCs w:val="22"/>
          <w:lang w:val="en-US" w:eastAsia="zh-CN"/>
        </w:rPr>
      </w:pPr>
      <w:r>
        <w:rPr>
          <w:rFonts w:hint="eastAsia" w:eastAsia="宋体" w:cs="Times New Roman"/>
          <w:sz w:val="22"/>
          <w:szCs w:val="22"/>
          <w:lang w:val="en-US" w:eastAsia="zh-CN" w:bidi="ar-SA"/>
        </w:rPr>
        <w:t>Based on the above observations, we agree that t</w:t>
      </w:r>
      <w:r>
        <w:rPr>
          <w:rFonts w:hint="eastAsia"/>
          <w:sz w:val="22"/>
          <w:szCs w:val="22"/>
          <w:lang w:val="en-US" w:eastAsia="zh-CN"/>
        </w:rPr>
        <w:t>he UE shall not declare beam failure because such behavior brings not much benefit and won</w:t>
      </w:r>
      <w:r>
        <w:rPr>
          <w:rFonts w:hint="default"/>
          <w:sz w:val="22"/>
          <w:szCs w:val="22"/>
          <w:lang w:val="en-US" w:eastAsia="zh-CN"/>
        </w:rPr>
        <w:t>’</w:t>
      </w:r>
      <w:r>
        <w:rPr>
          <w:rFonts w:hint="eastAsia"/>
          <w:sz w:val="22"/>
          <w:szCs w:val="22"/>
          <w:lang w:val="en-US" w:eastAsia="zh-CN"/>
        </w:rPr>
        <w:t>t solve the problem.</w:t>
      </w:r>
    </w:p>
    <w:p>
      <w:pPr>
        <w:rPr>
          <w:rFonts w:hint="default"/>
          <w:sz w:val="22"/>
          <w:szCs w:val="22"/>
          <w:lang w:val="en-US" w:eastAsia="zh-CN"/>
        </w:rPr>
      </w:pPr>
      <w:r>
        <w:rPr>
          <w:rFonts w:hint="eastAsia"/>
          <w:sz w:val="22"/>
          <w:szCs w:val="22"/>
          <w:lang w:val="en-US" w:eastAsia="zh-CN"/>
        </w:rPr>
        <w:t>We propose to further study the solutions in R17 as enhancements because the current mechanism, which is to trigger the BF in the end, won</w:t>
      </w:r>
      <w:r>
        <w:rPr>
          <w:rFonts w:hint="default"/>
          <w:sz w:val="22"/>
          <w:szCs w:val="22"/>
          <w:lang w:val="en-US" w:eastAsia="zh-CN"/>
        </w:rPr>
        <w:t>’</w:t>
      </w:r>
      <w:r>
        <w:rPr>
          <w:rFonts w:hint="eastAsia"/>
          <w:sz w:val="22"/>
          <w:szCs w:val="22"/>
          <w:lang w:val="en-US" w:eastAsia="zh-CN"/>
        </w:rPr>
        <w:t>t solve this problem. For RRC and MAC-CE based TCI switching, there are no ideal options right now. For MAC-CE it</w:t>
      </w:r>
      <w:r>
        <w:rPr>
          <w:rFonts w:hint="default"/>
          <w:sz w:val="22"/>
          <w:szCs w:val="22"/>
          <w:lang w:val="en-US" w:eastAsia="zh-CN"/>
        </w:rPr>
        <w:t>’</w:t>
      </w:r>
      <w:r>
        <w:rPr>
          <w:rFonts w:hint="eastAsia"/>
          <w:sz w:val="22"/>
          <w:szCs w:val="22"/>
          <w:lang w:val="en-US" w:eastAsia="zh-CN"/>
        </w:rPr>
        <w:t>s because letting the UE stay in the old state won</w:t>
      </w:r>
      <w:r>
        <w:rPr>
          <w:rFonts w:hint="default"/>
          <w:sz w:val="22"/>
          <w:szCs w:val="22"/>
          <w:lang w:val="en-US" w:eastAsia="zh-CN"/>
        </w:rPr>
        <w:t>’</w:t>
      </w:r>
      <w:r>
        <w:rPr>
          <w:rFonts w:hint="eastAsia"/>
          <w:sz w:val="22"/>
          <w:szCs w:val="22"/>
          <w:lang w:val="en-US" w:eastAsia="zh-CN"/>
        </w:rPr>
        <w:t>t provide good performance, since TCI state switching was triggered because the old TCI state is not satisfactory. For RRC based TCI state switching, the old state is discarded and makes the situation worse. Changing beams, the only option in R16, doesn</w:t>
      </w:r>
      <w:r>
        <w:rPr>
          <w:rFonts w:hint="default"/>
          <w:sz w:val="22"/>
          <w:szCs w:val="22"/>
          <w:lang w:val="en-US" w:eastAsia="zh-CN"/>
        </w:rPr>
        <w:t>’</w:t>
      </w:r>
      <w:r>
        <w:rPr>
          <w:rFonts w:hint="eastAsia"/>
          <w:sz w:val="22"/>
          <w:szCs w:val="22"/>
          <w:lang w:val="en-US" w:eastAsia="zh-CN"/>
        </w:rPr>
        <w:t>t improve the condition.</w:t>
      </w:r>
    </w:p>
    <w:p>
      <w:pPr>
        <w:pStyle w:val="36"/>
        <w:rPr>
          <w:rFonts w:hint="default"/>
          <w:lang w:val="en-US" w:eastAsia="zh-CN"/>
        </w:rPr>
      </w:pPr>
      <w:r>
        <w:rPr>
          <w:rFonts w:hint="eastAsia"/>
          <w:sz w:val="22"/>
          <w:szCs w:val="22"/>
          <w:lang w:val="en-US" w:eastAsia="zh-CN"/>
        </w:rPr>
        <w:t>Further study how to handle TCI state switching failures in R17.</w:t>
      </w:r>
    </w:p>
    <w:p>
      <w:pPr>
        <w:pStyle w:val="28"/>
        <w:jc w:val="both"/>
      </w:pPr>
      <w:r>
        <w:rPr>
          <w:rFonts w:hint="eastAsia"/>
          <w:lang w:val="en-US" w:eastAsia="zh-CN"/>
        </w:rPr>
        <w:t>3</w:t>
      </w:r>
      <w:r>
        <w:tab/>
      </w:r>
      <w:r>
        <w:t>Conclusion</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Observation 1:</w:t>
      </w:r>
      <w:r>
        <w:rPr>
          <w:rFonts w:hint="eastAsia" w:eastAsia="宋体" w:cs="Times New Roman"/>
          <w:sz w:val="22"/>
          <w:szCs w:val="22"/>
          <w:lang w:val="en-US" w:eastAsia="zh-CN" w:bidi="ar-SA"/>
        </w:rPr>
        <w:t xml:space="preserve"> Once a RS is not transmitted due to DL LBT failure, the UE and the network all know that even without signalling.</w:t>
      </w:r>
    </w:p>
    <w:p>
      <w:pPr>
        <w:pStyle w:val="36"/>
        <w:numPr>
          <w:ilvl w:val="0"/>
          <w:numId w:val="0"/>
        </w:numPr>
        <w:rPr>
          <w:rFonts w:hint="eastAsia"/>
          <w:sz w:val="22"/>
          <w:szCs w:val="22"/>
          <w:lang w:eastAsia="zh-CN"/>
        </w:rPr>
      </w:pPr>
      <w:r>
        <w:rPr>
          <w:rFonts w:hint="eastAsia" w:eastAsia="宋体" w:cs="Times New Roman"/>
          <w:b/>
          <w:bCs/>
          <w:sz w:val="22"/>
          <w:szCs w:val="22"/>
          <w:lang w:val="en-US" w:eastAsia="zh-CN" w:bidi="ar-SA"/>
        </w:rPr>
        <w:t>Observation 2:</w:t>
      </w:r>
      <w:r>
        <w:rPr>
          <w:rFonts w:hint="eastAsia" w:eastAsia="宋体" w:cs="Times New Roman"/>
          <w:sz w:val="22"/>
          <w:szCs w:val="22"/>
          <w:lang w:val="en-US" w:eastAsia="zh-CN" w:bidi="ar-SA"/>
        </w:rPr>
        <w:t xml:space="preserve">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pStyle w:val="36"/>
        <w:numPr>
          <w:ilvl w:val="0"/>
          <w:numId w:val="0"/>
        </w:numPr>
        <w:rPr>
          <w:rFonts w:hint="eastAsia" w:ascii="Times New Roman" w:hAnsi="Times New Roman" w:eastAsiaTheme="minorHAnsi" w:cstheme="minorBidi"/>
          <w:b/>
          <w:bCs w:val="0"/>
          <w:i w:val="0"/>
          <w:iCs/>
          <w:sz w:val="22"/>
          <w:szCs w:val="22"/>
          <w:lang w:val="en-US" w:eastAsia="zh-CN" w:bidi="ar-SA"/>
        </w:rPr>
      </w:pPr>
      <w:r>
        <w:rPr>
          <w:rFonts w:hint="eastAsia"/>
          <w:sz w:val="22"/>
          <w:szCs w:val="22"/>
          <w:lang w:eastAsia="zh-CN"/>
        </w:rPr>
        <w:t xml:space="preserve">Proposal 1: </w:t>
      </w:r>
      <w:r>
        <w:rPr>
          <w:rFonts w:hint="eastAsia"/>
          <w:sz w:val="22"/>
          <w:szCs w:val="22"/>
          <w:lang w:val="en-US" w:eastAsia="zh-CN"/>
        </w:rPr>
        <w:t>Further study how to handle TCI state switching failures in R17</w:t>
      </w:r>
      <w:r>
        <w:rPr>
          <w:sz w:val="22"/>
          <w:szCs w:val="22"/>
          <w:lang w:eastAsia="zh-CN"/>
        </w:rPr>
        <w:t>.</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R4-2008552</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R4-2005365</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R2-2005851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FE15FBC"/>
    <w:multiLevelType w:val="multilevel"/>
    <w:tmpl w:val="0FE15FBC"/>
    <w:lvl w:ilvl="0" w:tentative="0">
      <w:start w:val="1"/>
      <w:numFmt w:val="bullet"/>
      <w:lvlText w:val="•"/>
      <w:lvlJc w:val="left"/>
      <w:pPr>
        <w:tabs>
          <w:tab w:val="left" w:pos="720"/>
        </w:tabs>
        <w:ind w:left="720" w:hanging="360"/>
      </w:pPr>
      <w:rPr>
        <w:rFonts w:hint="default" w:ascii="Arial" w:hAnsi="Arial"/>
      </w:rPr>
    </w:lvl>
    <w:lvl w:ilvl="1" w:tentative="0">
      <w:start w:val="213"/>
      <w:numFmt w:val="bullet"/>
      <w:lvlText w:val="•"/>
      <w:lvlJc w:val="left"/>
      <w:pPr>
        <w:tabs>
          <w:tab w:val="left" w:pos="1440"/>
        </w:tabs>
        <w:ind w:left="1440" w:hanging="360"/>
      </w:pPr>
      <w:rPr>
        <w:rFonts w:hint="default" w:ascii="Arial" w:hAnsi="Arial"/>
      </w:rPr>
    </w:lvl>
    <w:lvl w:ilvl="2" w:tentative="0">
      <w:start w:val="21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7F66AC2"/>
    <w:multiLevelType w:val="multilevel"/>
    <w:tmpl w:val="17F66AC2"/>
    <w:lvl w:ilvl="0" w:tentative="0">
      <w:start w:val="1"/>
      <w:numFmt w:val="bullet"/>
      <w:lvlText w:val="•"/>
      <w:lvlJc w:val="left"/>
      <w:pPr>
        <w:tabs>
          <w:tab w:val="left" w:pos="720"/>
        </w:tabs>
        <w:ind w:left="720" w:hanging="360"/>
      </w:pPr>
      <w:rPr>
        <w:rFonts w:hint="default" w:ascii="Arial" w:hAnsi="Arial"/>
      </w:rPr>
    </w:lvl>
    <w:lvl w:ilvl="1" w:tentative="0">
      <w:start w:val="213"/>
      <w:numFmt w:val="bullet"/>
      <w:lvlText w:val="•"/>
      <w:lvlJc w:val="left"/>
      <w:pPr>
        <w:tabs>
          <w:tab w:val="left" w:pos="1440"/>
        </w:tabs>
        <w:ind w:left="1440" w:hanging="360"/>
      </w:pPr>
      <w:rPr>
        <w:rFonts w:hint="default" w:ascii="Arial" w:hAnsi="Arial"/>
      </w:rPr>
    </w:lvl>
    <w:lvl w:ilvl="2" w:tentative="0">
      <w:start w:val="21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4069F4D"/>
    <w:multiLevelType w:val="singleLevel"/>
    <w:tmpl w:val="74069F4D"/>
    <w:lvl w:ilvl="0" w:tentative="0">
      <w:start w:val="1"/>
      <w:numFmt w:val="decimal"/>
      <w:suff w:val="space"/>
      <w:lvlText w:val="%1)"/>
      <w:lvlJc w:val="left"/>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4B4522"/>
    <w:rsid w:val="017B5E4B"/>
    <w:rsid w:val="018D054D"/>
    <w:rsid w:val="01FF08B3"/>
    <w:rsid w:val="02C25D33"/>
    <w:rsid w:val="03261262"/>
    <w:rsid w:val="03A670A2"/>
    <w:rsid w:val="03C6506D"/>
    <w:rsid w:val="03F37217"/>
    <w:rsid w:val="044D658C"/>
    <w:rsid w:val="04C77D0A"/>
    <w:rsid w:val="04D5204C"/>
    <w:rsid w:val="05816336"/>
    <w:rsid w:val="059B61E4"/>
    <w:rsid w:val="05A86143"/>
    <w:rsid w:val="06105DAC"/>
    <w:rsid w:val="069766CC"/>
    <w:rsid w:val="07502CA2"/>
    <w:rsid w:val="078B76F8"/>
    <w:rsid w:val="079D410C"/>
    <w:rsid w:val="08641205"/>
    <w:rsid w:val="08935729"/>
    <w:rsid w:val="08AC4FE1"/>
    <w:rsid w:val="08C654D4"/>
    <w:rsid w:val="08CC5D10"/>
    <w:rsid w:val="09484892"/>
    <w:rsid w:val="099F556C"/>
    <w:rsid w:val="0A182C8A"/>
    <w:rsid w:val="0A5763D4"/>
    <w:rsid w:val="0A7BF868"/>
    <w:rsid w:val="0B110A9C"/>
    <w:rsid w:val="0B3F64CC"/>
    <w:rsid w:val="0B7322DC"/>
    <w:rsid w:val="0BB77882"/>
    <w:rsid w:val="0C56263C"/>
    <w:rsid w:val="0C5E2B8A"/>
    <w:rsid w:val="0DF104D3"/>
    <w:rsid w:val="0E9A4DF2"/>
    <w:rsid w:val="0ED138E6"/>
    <w:rsid w:val="0F220CA0"/>
    <w:rsid w:val="0F67780F"/>
    <w:rsid w:val="0FB648CB"/>
    <w:rsid w:val="0FD0731A"/>
    <w:rsid w:val="0FEE7772"/>
    <w:rsid w:val="0FF1533A"/>
    <w:rsid w:val="0FFE0AFA"/>
    <w:rsid w:val="10AA3C13"/>
    <w:rsid w:val="10CD0B75"/>
    <w:rsid w:val="110C4B64"/>
    <w:rsid w:val="110C4D24"/>
    <w:rsid w:val="12170E3F"/>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5C7D37"/>
    <w:rsid w:val="17777787"/>
    <w:rsid w:val="17A62BCE"/>
    <w:rsid w:val="17E826AB"/>
    <w:rsid w:val="17FF0FDD"/>
    <w:rsid w:val="181B7650"/>
    <w:rsid w:val="18D3414F"/>
    <w:rsid w:val="18D91924"/>
    <w:rsid w:val="1A0B3A21"/>
    <w:rsid w:val="1A9E1F80"/>
    <w:rsid w:val="1B3329B5"/>
    <w:rsid w:val="1B6237C1"/>
    <w:rsid w:val="1B7F155B"/>
    <w:rsid w:val="1BA53662"/>
    <w:rsid w:val="1C9823D7"/>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1DF1A87"/>
    <w:rsid w:val="22571B82"/>
    <w:rsid w:val="22C0245E"/>
    <w:rsid w:val="23514077"/>
    <w:rsid w:val="23B20773"/>
    <w:rsid w:val="23CF6D67"/>
    <w:rsid w:val="248F188B"/>
    <w:rsid w:val="24E91488"/>
    <w:rsid w:val="25077EC5"/>
    <w:rsid w:val="25962669"/>
    <w:rsid w:val="2599247B"/>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B33B5A"/>
    <w:rsid w:val="32EE27B2"/>
    <w:rsid w:val="33372789"/>
    <w:rsid w:val="33484A1E"/>
    <w:rsid w:val="335F47E9"/>
    <w:rsid w:val="34522D52"/>
    <w:rsid w:val="346E4104"/>
    <w:rsid w:val="3476470C"/>
    <w:rsid w:val="34D83C16"/>
    <w:rsid w:val="3509315E"/>
    <w:rsid w:val="351A4CC6"/>
    <w:rsid w:val="359B2FCE"/>
    <w:rsid w:val="35D850E1"/>
    <w:rsid w:val="3625727C"/>
    <w:rsid w:val="36C52BB2"/>
    <w:rsid w:val="36D83CAB"/>
    <w:rsid w:val="373B0ED4"/>
    <w:rsid w:val="376D4B23"/>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877D7D"/>
    <w:rsid w:val="3ECE16FA"/>
    <w:rsid w:val="3FF55768"/>
    <w:rsid w:val="40566CBF"/>
    <w:rsid w:val="407921CE"/>
    <w:rsid w:val="40C04FE0"/>
    <w:rsid w:val="40CD3DFD"/>
    <w:rsid w:val="41A105B1"/>
    <w:rsid w:val="41AA7137"/>
    <w:rsid w:val="41FC2424"/>
    <w:rsid w:val="42381A71"/>
    <w:rsid w:val="426B0C9E"/>
    <w:rsid w:val="42841694"/>
    <w:rsid w:val="429266C7"/>
    <w:rsid w:val="42AF1322"/>
    <w:rsid w:val="42C84FA7"/>
    <w:rsid w:val="42E73C10"/>
    <w:rsid w:val="438C15BC"/>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9C27E73"/>
    <w:rsid w:val="4A017308"/>
    <w:rsid w:val="4AA22C8B"/>
    <w:rsid w:val="4AF26B9D"/>
    <w:rsid w:val="4B85087E"/>
    <w:rsid w:val="4BB65435"/>
    <w:rsid w:val="4BCE1489"/>
    <w:rsid w:val="4C331CC6"/>
    <w:rsid w:val="4C723787"/>
    <w:rsid w:val="4C7A2C01"/>
    <w:rsid w:val="4CA552A3"/>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5362923"/>
    <w:rsid w:val="5553143F"/>
    <w:rsid w:val="55835BB5"/>
    <w:rsid w:val="55B42DC5"/>
    <w:rsid w:val="572C4710"/>
    <w:rsid w:val="586B2608"/>
    <w:rsid w:val="58AD6A27"/>
    <w:rsid w:val="592D7AE2"/>
    <w:rsid w:val="593554F0"/>
    <w:rsid w:val="59840ED4"/>
    <w:rsid w:val="5A3078C5"/>
    <w:rsid w:val="5ADF3A74"/>
    <w:rsid w:val="5AE53367"/>
    <w:rsid w:val="5B0B0083"/>
    <w:rsid w:val="5B7C141A"/>
    <w:rsid w:val="5BC3228B"/>
    <w:rsid w:val="5C0961E3"/>
    <w:rsid w:val="5C3B1FEA"/>
    <w:rsid w:val="5CFD674B"/>
    <w:rsid w:val="5D041ECD"/>
    <w:rsid w:val="5E2D4C21"/>
    <w:rsid w:val="5E70786E"/>
    <w:rsid w:val="5E8B6B57"/>
    <w:rsid w:val="5EE41E2E"/>
    <w:rsid w:val="5F0F00DA"/>
    <w:rsid w:val="60017F85"/>
    <w:rsid w:val="6038792D"/>
    <w:rsid w:val="6045086B"/>
    <w:rsid w:val="60745B63"/>
    <w:rsid w:val="60A542BD"/>
    <w:rsid w:val="60B937A9"/>
    <w:rsid w:val="60FE56E9"/>
    <w:rsid w:val="61051332"/>
    <w:rsid w:val="6155106E"/>
    <w:rsid w:val="618D3C04"/>
    <w:rsid w:val="62762AC5"/>
    <w:rsid w:val="62B7743E"/>
    <w:rsid w:val="63754386"/>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1E768E"/>
    <w:rsid w:val="6E504618"/>
    <w:rsid w:val="6EB20078"/>
    <w:rsid w:val="6F2B4BD4"/>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3496B"/>
    <w:rsid w:val="72867A39"/>
    <w:rsid w:val="72EE3608"/>
    <w:rsid w:val="72FC12C9"/>
    <w:rsid w:val="7326714D"/>
    <w:rsid w:val="732F59FD"/>
    <w:rsid w:val="734B5574"/>
    <w:rsid w:val="7355417D"/>
    <w:rsid w:val="736C3FBB"/>
    <w:rsid w:val="73A73275"/>
    <w:rsid w:val="74B74201"/>
    <w:rsid w:val="74D53B99"/>
    <w:rsid w:val="75122532"/>
    <w:rsid w:val="75235732"/>
    <w:rsid w:val="754C1AAF"/>
    <w:rsid w:val="75973C7F"/>
    <w:rsid w:val="76D8737F"/>
    <w:rsid w:val="76DB158C"/>
    <w:rsid w:val="76E279D7"/>
    <w:rsid w:val="772E0626"/>
    <w:rsid w:val="7754709D"/>
    <w:rsid w:val="77652A8D"/>
    <w:rsid w:val="776E285A"/>
    <w:rsid w:val="77B02D8D"/>
    <w:rsid w:val="77C0093D"/>
    <w:rsid w:val="77C90B9C"/>
    <w:rsid w:val="784258BF"/>
    <w:rsid w:val="788A73B5"/>
    <w:rsid w:val="788B14B5"/>
    <w:rsid w:val="78987EF7"/>
    <w:rsid w:val="78E22C2B"/>
    <w:rsid w:val="7925298D"/>
    <w:rsid w:val="793758F2"/>
    <w:rsid w:val="793F1E1F"/>
    <w:rsid w:val="79A44BAB"/>
    <w:rsid w:val="7A6209BD"/>
    <w:rsid w:val="7A6F59CA"/>
    <w:rsid w:val="7A787ECB"/>
    <w:rsid w:val="7A8B51CB"/>
    <w:rsid w:val="7AB507FA"/>
    <w:rsid w:val="7AC634CB"/>
    <w:rsid w:val="7B970443"/>
    <w:rsid w:val="7C41564D"/>
    <w:rsid w:val="7C5562E5"/>
    <w:rsid w:val="7CB561C0"/>
    <w:rsid w:val="7CCC277F"/>
    <w:rsid w:val="7CE3033A"/>
    <w:rsid w:val="7D081DB0"/>
    <w:rsid w:val="7D0A2590"/>
    <w:rsid w:val="7D550752"/>
    <w:rsid w:val="7D6A7A29"/>
    <w:rsid w:val="7DCC5A45"/>
    <w:rsid w:val="7E33250C"/>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DF3159A7-E9D0-414E-8F00-668C05F5E065}">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2020-08-06T07:50:46Z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